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bCs/>
          <w:sz w:val="44"/>
          <w:szCs w:val="44"/>
        </w:rPr>
      </w:pPr>
      <w:r>
        <w:rPr>
          <w:rFonts w:hint="eastAsia" w:ascii="黑体" w:hAnsi="黑体" w:eastAsia="黑体" w:cs="宋体"/>
          <w:color w:val="333333"/>
          <w:szCs w:val="21"/>
        </w:rPr>
        <w:t>附件1：</w:t>
      </w:r>
    </w:p>
    <w:p>
      <w:pPr>
        <w:spacing w:line="560" w:lineRule="exact"/>
        <w:jc w:val="center"/>
        <w:rPr>
          <w:rFonts w:hint="eastAsia" w:ascii="仿宋_GB2312" w:hAnsi="仿宋_GB2312" w:eastAsia="仿宋_GB2312" w:cs="仿宋_GB2312"/>
          <w:color w:val="000000"/>
          <w:sz w:val="32"/>
          <w:szCs w:val="32"/>
          <w:shd w:val="clear" w:color="auto" w:fill="FFFFFF"/>
        </w:rPr>
      </w:pPr>
      <w:bookmarkStart w:id="0" w:name="_GoBack"/>
      <w:r>
        <w:rPr>
          <w:rFonts w:hint="eastAsia" w:ascii="方正小标宋简体" w:eastAsia="方正小标宋简体"/>
          <w:bCs/>
          <w:sz w:val="44"/>
          <w:szCs w:val="44"/>
        </w:rPr>
        <w:t>长沙开福城投集团有限责任公司公开招聘职位表</w:t>
      </w:r>
    </w:p>
    <w:bookmarkEnd w:id="0"/>
    <w:tbl>
      <w:tblPr>
        <w:tblStyle w:val="3"/>
        <w:tblW w:w="5135" w:type="pct"/>
        <w:tblInd w:w="0" w:type="dxa"/>
        <w:tblLayout w:type="autofit"/>
        <w:tblCellMar>
          <w:top w:w="0" w:type="dxa"/>
          <w:left w:w="0" w:type="dxa"/>
          <w:bottom w:w="0" w:type="dxa"/>
          <w:right w:w="0" w:type="dxa"/>
        </w:tblCellMar>
      </w:tblPr>
      <w:tblGrid>
        <w:gridCol w:w="564"/>
        <w:gridCol w:w="548"/>
        <w:gridCol w:w="653"/>
        <w:gridCol w:w="570"/>
        <w:gridCol w:w="545"/>
        <w:gridCol w:w="3705"/>
        <w:gridCol w:w="688"/>
        <w:gridCol w:w="8572"/>
      </w:tblGrid>
      <w:tr>
        <w:tblPrEx>
          <w:tblCellMar>
            <w:top w:w="0" w:type="dxa"/>
            <w:left w:w="0" w:type="dxa"/>
            <w:bottom w:w="0" w:type="dxa"/>
            <w:right w:w="0" w:type="dxa"/>
          </w:tblCellMar>
        </w:tblPrEx>
        <w:trPr>
          <w:trHeight w:val="824" w:hRule="atLeast"/>
        </w:trPr>
        <w:tc>
          <w:tcPr>
            <w:tcW w:w="1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1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所属公司</w:t>
            </w:r>
          </w:p>
        </w:tc>
        <w:tc>
          <w:tcPr>
            <w:tcW w:w="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招聘部门</w:t>
            </w:r>
          </w:p>
        </w:tc>
        <w:tc>
          <w:tcPr>
            <w:tcW w:w="1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w:t>
            </w:r>
          </w:p>
        </w:tc>
        <w:tc>
          <w:tcPr>
            <w:tcW w:w="1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招聘人数</w:t>
            </w:r>
          </w:p>
        </w:tc>
        <w:tc>
          <w:tcPr>
            <w:tcW w:w="11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岗位职责</w:t>
            </w: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薪酬待遇</w:t>
            </w: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任职资格</w:t>
            </w:r>
          </w:p>
        </w:tc>
      </w:tr>
      <w:tr>
        <w:tblPrEx>
          <w:tblCellMar>
            <w:top w:w="0" w:type="dxa"/>
            <w:left w:w="0" w:type="dxa"/>
            <w:bottom w:w="0" w:type="dxa"/>
            <w:right w:w="0" w:type="dxa"/>
          </w:tblCellMar>
        </w:tblPrEx>
        <w:trPr>
          <w:trHeight w:val="708" w:hRule="atLeast"/>
        </w:trPr>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w:t>
            </w:r>
          </w:p>
        </w:tc>
        <w:tc>
          <w:tcPr>
            <w:tcW w:w="18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投资专员</w:t>
            </w:r>
          </w:p>
        </w:tc>
        <w:tc>
          <w:tcPr>
            <w:tcW w:w="1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16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根据行业和市场调研结果进行项目的可行性分析，撰写项目建议书、可行性报告以及商业计划书;2、对投资项目实施评估、测算和分析，为管理层投资决策提供依据;3、寻找合适的项目资源，对寻找到的项目进行可行性调查分析;4、参与项目谈判，参与合作合同撰写及合作模式架构工作;5、对项目进行监督和控制，并对项目开展投后管理，完成投后管理报告，对投资项目的相关资料进行整理和归档。</w:t>
            </w:r>
          </w:p>
        </w:tc>
        <w:tc>
          <w:tcPr>
            <w:tcW w:w="21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1、全日制本科及以上学历，金融、财务、经济类相关专业，年龄35周岁以下。</w:t>
            </w:r>
          </w:p>
        </w:tc>
      </w:tr>
      <w:tr>
        <w:tblPrEx>
          <w:tblCellMar>
            <w:top w:w="0" w:type="dxa"/>
            <w:left w:w="0" w:type="dxa"/>
            <w:bottom w:w="0" w:type="dxa"/>
            <w:right w:w="0" w:type="dxa"/>
          </w:tblCellMar>
        </w:tblPrEx>
        <w:trPr>
          <w:trHeight w:val="1110"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2、具有2年以上专业投资机构或国有平台公司投资岗位工作经验。</w:t>
            </w:r>
          </w:p>
        </w:tc>
      </w:tr>
      <w:tr>
        <w:tblPrEx>
          <w:tblCellMar>
            <w:top w:w="0" w:type="dxa"/>
            <w:left w:w="0" w:type="dxa"/>
            <w:bottom w:w="0" w:type="dxa"/>
            <w:right w:w="0" w:type="dxa"/>
          </w:tblCellMar>
        </w:tblPrEx>
        <w:trPr>
          <w:trHeight w:val="814"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3、具有较强的数据分析能力、优秀文字表达能力和良好的人际关系处理能力，具有法律合同条款设计的基本常识。</w:t>
            </w:r>
          </w:p>
        </w:tc>
      </w:tr>
      <w:tr>
        <w:tblPrEx>
          <w:tblCellMar>
            <w:top w:w="0" w:type="dxa"/>
            <w:left w:w="0" w:type="dxa"/>
            <w:bottom w:w="0" w:type="dxa"/>
            <w:right w:w="0" w:type="dxa"/>
          </w:tblCellMar>
        </w:tblPrEx>
        <w:trPr>
          <w:trHeight w:val="533"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4、有良好的职业操守，执行力强、抗压力强，能接受高强度工作。</w:t>
            </w:r>
          </w:p>
        </w:tc>
      </w:tr>
      <w:tr>
        <w:tblPrEx>
          <w:tblCellMar>
            <w:top w:w="0" w:type="dxa"/>
            <w:left w:w="0" w:type="dxa"/>
            <w:bottom w:w="0" w:type="dxa"/>
            <w:right w:w="0" w:type="dxa"/>
          </w:tblCellMar>
        </w:tblPrEx>
        <w:trPr>
          <w:trHeight w:val="600" w:hRule="atLeast"/>
        </w:trPr>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审计风控部</w:t>
            </w:r>
          </w:p>
        </w:tc>
        <w:tc>
          <w:tcPr>
            <w:tcW w:w="18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风控专员</w:t>
            </w:r>
          </w:p>
        </w:tc>
        <w:tc>
          <w:tcPr>
            <w:tcW w:w="1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16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开展全面风险管理日常工作，定期对集团公司及各子公司内部控制制度执行情况及风险管理情况进行监督评价。</w:t>
            </w:r>
          </w:p>
        </w:tc>
        <w:tc>
          <w:tcPr>
            <w:tcW w:w="21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1.全日制本科及以上学历，财务、经济类相关专业年龄28周岁以下。</w:t>
            </w:r>
          </w:p>
        </w:tc>
      </w:tr>
      <w:tr>
        <w:tblPrEx>
          <w:tblCellMar>
            <w:top w:w="0" w:type="dxa"/>
            <w:left w:w="0" w:type="dxa"/>
            <w:bottom w:w="0" w:type="dxa"/>
            <w:right w:w="0" w:type="dxa"/>
          </w:tblCellMar>
        </w:tblPrEx>
        <w:trPr>
          <w:trHeight w:val="580"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2.具有1年以上财务、审计或风控相关岗位工作经验。</w:t>
            </w:r>
          </w:p>
        </w:tc>
      </w:tr>
      <w:tr>
        <w:tblPrEx>
          <w:tblCellMar>
            <w:top w:w="0" w:type="dxa"/>
            <w:left w:w="0" w:type="dxa"/>
            <w:bottom w:w="0" w:type="dxa"/>
            <w:right w:w="0" w:type="dxa"/>
          </w:tblCellMar>
        </w:tblPrEx>
        <w:trPr>
          <w:trHeight w:val="336"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3.熟悉企业经营管理，熟练掌握财务、会计、审计等方面专业知识，具有较好的综合分析、判断能力,文字撰写能力以及计划与执行能力。</w:t>
            </w:r>
          </w:p>
        </w:tc>
      </w:tr>
      <w:tr>
        <w:tblPrEx>
          <w:tblCellMar>
            <w:top w:w="0" w:type="dxa"/>
            <w:left w:w="0" w:type="dxa"/>
            <w:bottom w:w="0" w:type="dxa"/>
            <w:right w:w="0" w:type="dxa"/>
          </w:tblCellMar>
        </w:tblPrEx>
        <w:trPr>
          <w:trHeight w:val="680" w:hRule="atLeast"/>
        </w:trPr>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6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4.有良好的职业操守，执行力强、抗压力强，能接受高强度的工作。</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3748A"/>
    <w:rsid w:val="4513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2021-04-27T07:58:00Z</dcterms:created>
  <dc:creator>闪闪大白牙</dc:creator>
  <cp:lastModifiedBy>闪闪大白牙</cp:lastModifiedBy>
  <dcterms:modified xsi:type="dcterms:W3CDTF">2021-04-27T07:59:58Z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C977B0F623884AFAB5F1098510426E66</vt:lpwstr>
  </property>
</Properties>
</file>