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附件二：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（主要填写亲属关系，是指与现代农业集团员工、集团所属企业员工有夫妻关系、直系血亲关系、三代以内旁系血亲关系、近姻亲关系的，没有的填无）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zZiYmZlZDZmMzc1ZDRmMjE5MmViZTZiYmFkY2I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11EE3269"/>
    <w:rsid w:val="20E7229B"/>
    <w:rsid w:val="2A430E46"/>
    <w:rsid w:val="33751907"/>
    <w:rsid w:val="5B78347E"/>
    <w:rsid w:val="5FD43167"/>
    <w:rsid w:val="6A92349E"/>
    <w:rsid w:val="7A3E3D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687</Words>
  <Characters>701</Characters>
  <Lines>7</Lines>
  <Paragraphs>2</Paragraphs>
  <TotalTime>1</TotalTime>
  <ScaleCrop>false</ScaleCrop>
  <LinksUpToDate>false</LinksUpToDate>
  <CharactersWithSpaces>849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陈利</cp:lastModifiedBy>
  <cp:lastPrinted>2022-06-13T01:15:00Z</cp:lastPrinted>
  <dcterms:modified xsi:type="dcterms:W3CDTF">2024-06-24T02:22:59Z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40E3A96B9268402CADFEF54D22E79457_13</vt:lpwstr>
  </property>
</Properties>
</file>